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35" w:rsidRPr="00DE6735" w:rsidRDefault="00DE6735" w:rsidP="00DE6735">
      <w:pPr>
        <w:shd w:val="clear" w:color="auto" w:fill="FFFFFF"/>
        <w:spacing w:after="210" w:line="240" w:lineRule="auto"/>
        <w:outlineLvl w:val="2"/>
        <w:rPr>
          <w:rFonts w:ascii="Open Sans" w:eastAsia="Times New Roman" w:hAnsi="Open Sans"/>
          <w:b/>
          <w:bCs/>
          <w:color w:val="3C3D48"/>
          <w:szCs w:val="24"/>
          <w:lang w:eastAsia="nb-NO"/>
        </w:rPr>
      </w:pPr>
      <w:bookmarkStart w:id="0" w:name="_GoBack"/>
      <w:bookmarkEnd w:id="0"/>
      <w:r w:rsidRPr="00DE6735">
        <w:rPr>
          <w:rFonts w:ascii="Open Sans" w:eastAsia="Times New Roman" w:hAnsi="Open Sans"/>
          <w:b/>
          <w:bCs/>
          <w:color w:val="3C3D48"/>
          <w:szCs w:val="24"/>
          <w:lang w:eastAsia="nb-NO"/>
        </w:rPr>
        <w:t>Unntatt offentlighet - bruk av paragrafer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Hjemmelsreferanser for å unnta dokumenter fra offentlighet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Denne oversikten over lovparagrafer er også bygget inn i kommunens sak/arkivsystem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Denne siden viser i tabellen nedenfor sentralt regelverk som ledere og saksbehandlere bruker for å unndra dokumenter fra offentlighet. Lovene finner du i sin helhet på </w:t>
      </w:r>
      <w:hyperlink r:id="rId5" w:tgtFrame="_blank" w:history="1">
        <w:r w:rsidRPr="00DE6735">
          <w:rPr>
            <w:rFonts w:ascii="Open Sans" w:eastAsia="Times New Roman" w:hAnsi="Open Sans"/>
            <w:color w:val="3C3D48"/>
            <w:sz w:val="21"/>
            <w:szCs w:val="21"/>
            <w:u w:val="single"/>
            <w:lang w:eastAsia="nb-NO"/>
          </w:rPr>
          <w:t>Lovdata</w:t>
        </w:r>
      </w:hyperlink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. Du finner også en snarvei til </w:t>
      </w:r>
      <w:hyperlink r:id="rId6" w:tgtFrame="_blank" w:history="1">
        <w:r w:rsidRPr="00DE6735">
          <w:rPr>
            <w:rFonts w:ascii="Open Sans" w:eastAsia="Times New Roman" w:hAnsi="Open Sans"/>
            <w:color w:val="3C3D48"/>
            <w:sz w:val="21"/>
            <w:szCs w:val="21"/>
            <w:u w:val="single"/>
            <w:lang w:eastAsia="nb-NO"/>
          </w:rPr>
          <w:t>Sivilombudsmannen</w:t>
        </w:r>
      </w:hyperlink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 sin hjemmeside her i tilfelle du har behov for å sjekke uttalelser fra denne instansen.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Forkortelser: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Bvl-</w:t>
      </w: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Lov om barneverntjenester (barnevernloven) av 17. juli 1992 nr. 100.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Fvl.-</w:t>
      </w: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Lov om behandlingsmåten i forvaltningssaker (forvaltningsloven) av 10. februar 1967 nr. 00.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Hlsregl.-</w:t>
      </w: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Lov om helseregistre og behandling av helseopplysninger (helseregisterloven) av 18. mai 2001 nr. 24.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Offl.-</w:t>
      </w: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Lov om rett til innsyn i dokument i offentleg verksemd (offentleglova) av 19. mai 2006 nr. 16.</w:t>
      </w:r>
    </w:p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Sotjl</w:t>
      </w: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-Lov om sosiale tjenester m.v. (sosialtjenesteloven) av 13.desember 1991 nr. 81.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32"/>
      </w:tblGrid>
      <w:tr w:rsidR="00DE6735" w:rsidRPr="00DE6735" w:rsidTr="00DE6735">
        <w:tc>
          <w:tcPr>
            <w:tcW w:w="0" w:type="auto"/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     </w:t>
            </w:r>
          </w:p>
        </w:tc>
      </w:tr>
    </w:tbl>
    <w:p w:rsidR="00DE6735" w:rsidRPr="00DE6735" w:rsidRDefault="00DE6735" w:rsidP="00DE6735">
      <w:pPr>
        <w:spacing w:after="0" w:line="240" w:lineRule="auto"/>
        <w:rPr>
          <w:rFonts w:eastAsia="Times New Roman"/>
          <w:vanish/>
          <w:szCs w:val="24"/>
          <w:lang w:eastAsia="nb-NO"/>
        </w:rPr>
      </w:pPr>
    </w:p>
    <w:tbl>
      <w:tblPr>
        <w:tblW w:w="8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3"/>
        <w:gridCol w:w="3072"/>
      </w:tblGrid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b/>
                <w:bCs/>
                <w:color w:val="3C3D48"/>
                <w:sz w:val="21"/>
                <w:szCs w:val="21"/>
                <w:lang w:eastAsia="nb-NO"/>
              </w:rPr>
              <w:t>UNNTAK: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b/>
                <w:bCs/>
                <w:color w:val="3C3D48"/>
                <w:sz w:val="21"/>
                <w:szCs w:val="21"/>
                <w:lang w:eastAsia="nb-NO"/>
              </w:rPr>
              <w:t>Hjemmelsreferanse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for saker som behandles etter rettspleielovene ----------jfr. Offl. § 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Henv. til Offl. § 24 2.ledd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for opplysninger undergitt lovbestemt taushetsplikt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Særlover går over fvl, men fvl kan i tillegg føres i på.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Må henvise til aktuell lov i tillegg til offentlighetsloven.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1)noens personlige forhold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13 jf. Fvl. §13, 1.ledd nr.1</w:t>
            </w:r>
          </w:p>
        </w:tc>
      </w:tr>
      <w:tr w:rsidR="00DE6735" w:rsidRPr="00DE6735" w:rsidTr="00DE67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13 jf. Hlsregl. §15</w:t>
            </w:r>
          </w:p>
        </w:tc>
      </w:tr>
      <w:tr w:rsidR="00DE6735" w:rsidRPr="00DE6735" w:rsidTr="00DE67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13 jf. Bvl §6-7</w:t>
            </w:r>
          </w:p>
        </w:tc>
      </w:tr>
      <w:tr w:rsidR="00DE6735" w:rsidRPr="00DE6735" w:rsidTr="00DE67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13 jf. Sotjl §8-8</w:t>
            </w:r>
          </w:p>
        </w:tc>
      </w:tr>
      <w:tr w:rsidR="00DE6735" w:rsidRPr="00DE6735" w:rsidTr="00DE6735">
        <w:trPr>
          <w:trHeight w:val="510"/>
        </w:trPr>
        <w:tc>
          <w:tcPr>
            <w:tcW w:w="7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2)tekniske innretninger og fremgangsmåter samt drifts- eller forretningsforhold av konkurransemessig betydning å hemmeligholde for den som opplysningen angår.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13 jf. Fvl. §13, 1.ledd nr.2</w:t>
            </w:r>
          </w:p>
        </w:tc>
      </w:tr>
      <w:tr w:rsidR="00DE6735" w:rsidRPr="00DE6735" w:rsidTr="00DE6735">
        <w:trPr>
          <w:trHeight w:val="46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 xml:space="preserve">… om sladding gir misvisende bilde av saken eller unntatte </w:t>
            </w: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lastRenderedPageBreak/>
              <w:t>opplysninger utgjør vesentlige deler av dokumentet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lastRenderedPageBreak/>
              <w:t>Hele dokumentet kan unntas</w:t>
            </w:r>
          </w:p>
        </w:tc>
      </w:tr>
      <w:tr w:rsidR="00DE6735" w:rsidRPr="00DE6735" w:rsidTr="00DE67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12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lastRenderedPageBreak/>
              <w:t>… for personalsaker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23 1. ledd jf. Fvl. §13, 1.ledd nr.1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for dokumenter utarbeidet: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14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 for intern saksforberedelse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 av andre organer for intern saksforberedelse av :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15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a) av et underordnet organ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b) av særlige rådgivere eller sakkyndige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15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for dokumenter som gjelder innhenting av dokumenter for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16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intern saksforberedelse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Kan unntas pga dokumentets innhold: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     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 Offentliggjøring ville skade rikets sikkerhet, landets forsvar eller forholdet til fremmede makter/ internasjonale organisasjoner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20 eller 21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 Er påkrevd av hensyn til: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23 1. ledd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-økonomi-,lønns- eller personalforvaltning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-en forsvarlig gjennomføring av økonomiske rammeavtaler med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23 2. ledd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næringslivet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 fordi offentlighet ville motvirke offentlige kontroll- eller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24 1. ledd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reguleringstiltak eller andre nødvendige pålegg eller forbud,eller medføre fare for at de ikke kan gjennomføres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-Unntak for dokument i sak om ansettelse eller forfremmelse i offentlig tjeneste (ikke søkerliste)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25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 Unntak for dokument som inneholder anmeldelse, rapport o.a dokument om lovovertredelse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24 2. ledd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lastRenderedPageBreak/>
              <w:t>- Eksamensbesvarelse el.l. prøve og innlevert konkurranseutkast e.l.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26 1. ledd</w:t>
            </w:r>
          </w:p>
        </w:tc>
      </w:tr>
      <w:tr w:rsidR="00DE6735" w:rsidRPr="00DE6735" w:rsidTr="00DE6735">
        <w:tc>
          <w:tcPr>
            <w:tcW w:w="7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Utvidet unntak for andre dokumenter i en sak som kan gi misvisende bilde av denne, og hvor tidligere dokumenter er unntatt. Tilleggskrav om at samfunnsmessige eller private interesser blir skadelidende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Hele saken kan unntas</w:t>
            </w:r>
          </w:p>
        </w:tc>
      </w:tr>
      <w:tr w:rsidR="00DE6735" w:rsidRPr="00DE6735" w:rsidTr="00DE67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12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er påkrevd fordi offentlighet: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24 3. ledd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-vil lette utføringen av straffbare handlinger og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-kan medføre påføring av skade på deler av miljøet som er særlig utsatt eller som er truet av utryddelse.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… der det overveiende antall dokumenter /hele saksområder etter offvl. §§ 13 kan unntas offentlighet. Se forskrift til offentlighetsloven av 14.02.85 nr. 351 – kap. V og VI - Gjelder hele journaler og de underliggende dokumenter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jf. forskr. Kap. V eller VI med gjeldende §'er og underpunkter. (spesifiser!)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Benyttes i sjeldne tilfeller. Det kreves at tidspunkt for opphør registreres eller konsekvent tas opp til vurdering ved forespørsel: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     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...Utsatt offentlighet i særlige tilfeller, kort unntakelse til saken er avgjort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5</w:t>
            </w:r>
          </w:p>
        </w:tc>
      </w:tr>
    </w:tbl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b/>
          <w:bCs/>
          <w:color w:val="3C3D48"/>
          <w:sz w:val="21"/>
          <w:szCs w:val="21"/>
          <w:lang w:eastAsia="nb-NO"/>
        </w:rPr>
        <w:t>I tillegg benyttes også disse i (fylkes-)kommunal forvaltning:</w:t>
      </w:r>
    </w:p>
    <w:tbl>
      <w:tblPr>
        <w:tblW w:w="8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9"/>
        <w:gridCol w:w="3086"/>
      </w:tblGrid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Begrenset, konfidensielt eller hemmelig etter sikkerhetsloven. H.h.v.kode B, K og H med rangering der B er lavest og H er strengest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13 jf. Sikkerhetsinstruksen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Fortrolig og strengt fortrolig etter beskyttelsesinstruksen.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Offl. § 13 jf. beskyttelsesinstruksen</w:t>
            </w:r>
          </w:p>
        </w:tc>
      </w:tr>
      <w:tr w:rsidR="00DE6735" w:rsidRPr="00DE6735" w:rsidTr="00DE6735"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H.h.v.kode F og SF med rangering der F er lavest og SF er strengest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735" w:rsidRPr="00DE6735" w:rsidRDefault="00DE6735" w:rsidP="00DE6735">
            <w:pPr>
              <w:spacing w:after="0" w:line="240" w:lineRule="auto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</w:p>
        </w:tc>
      </w:tr>
    </w:tbl>
    <w:p w:rsidR="00DE6735" w:rsidRPr="00DE6735" w:rsidRDefault="00DE6735" w:rsidP="00DE6735">
      <w:pPr>
        <w:shd w:val="clear" w:color="auto" w:fill="FFFFFF"/>
        <w:spacing w:after="210" w:line="300" w:lineRule="atLeast"/>
        <w:rPr>
          <w:rFonts w:ascii="Open Sans" w:eastAsia="Times New Roman" w:hAnsi="Open Sans"/>
          <w:color w:val="3C3D48"/>
          <w:sz w:val="21"/>
          <w:szCs w:val="21"/>
          <w:lang w:eastAsia="nb-NO"/>
        </w:rPr>
      </w:pP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De unntaksreglene som organet benytter skal beskrives i organets saksbehandlersystem. </w:t>
      </w:r>
      <w:r w:rsidRPr="00DE6735">
        <w:rPr>
          <w:rFonts w:ascii="Open Sans" w:eastAsia="Times New Roman" w:hAnsi="Open Sans"/>
          <w:i/>
          <w:iCs/>
          <w:color w:val="3C3D48"/>
          <w:sz w:val="21"/>
          <w:szCs w:val="21"/>
          <w:lang w:eastAsia="nb-NO"/>
        </w:rPr>
        <w:t>Anvendelsesområdet </w:t>
      </w:r>
      <w:r w:rsidRPr="00DE6735">
        <w:rPr>
          <w:rFonts w:ascii="Open Sans" w:eastAsia="Times New Roman" w:hAnsi="Open Sans"/>
          <w:color w:val="3C3D48"/>
          <w:sz w:val="21"/>
          <w:szCs w:val="21"/>
          <w:lang w:eastAsia="nb-NO"/>
        </w:rPr>
        <w:t>for unntakene (i venstre kolonne ovenfor) legges inn her i eget felt med samme navn. Noen av de minst brukte henvisningene ovenfor er ikke plassert i egen linje her. I et saksbehandlersystem må de legges inn som egne valg med skille mellom de ulike paragrafer med underpunkter, også etter offvl.§11 og sikkerhets-/ beskyttelsesinstruksen. Det gjelder for de unntaksreglene som organet benytter.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5"/>
        <w:gridCol w:w="816"/>
        <w:gridCol w:w="7801"/>
      </w:tblGrid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lastRenderedPageBreak/>
              <w:t>Lov: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§§: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Lovtekst/forklaring/Merknad: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Saker som behandles etter rettspleielovene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Utsatt offentlighet i særskilte tilfeller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dokument til interne saksforberedelser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13, jf. fvl. §13.1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for noens personlige forhold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13, jf. fvl. §13.2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for drifts- eller forretningsforhold som det vil være av konkurransemessig betydning å hemmeligholde av hensyn til den som opplysningen angår.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vedrørende rikets sikkerhet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av hensyn til økonomi-, lønns og personalforvaltning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av hensyn til økonomiske rammeavtaler med næringslivet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23.2 jf. fvl. §19b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Bedrifters "tekniske innretninger, produksjonsmetoder, forretningsmessige analyser og berekninger og forretningshemmeligheter" bl.a. i kontraktsinngåelser med kommunen eller andre saksbehandlingsprosesser hvor kommunen kommer i kontakt med slik informasjon.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for å sikre kontroll- eller reguleringstiltak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Dokument i sak om ansettelse/forfremmelse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Anmeldelse, rapport og annet dokument om lovovertredelse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Eksamensbesvarelse og konkurranseutkast</w:t>
            </w:r>
          </w:p>
        </w:tc>
      </w:tr>
      <w:tr w:rsidR="00DE6735" w:rsidRPr="00DE6735" w:rsidTr="00DE67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Off.l.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§ 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735" w:rsidRPr="00DE6735" w:rsidRDefault="00DE6735" w:rsidP="00DE6735">
            <w:pPr>
              <w:spacing w:after="210" w:line="300" w:lineRule="atLeast"/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</w:pPr>
            <w:r w:rsidRPr="00DE6735">
              <w:rPr>
                <w:rFonts w:ascii="Open Sans" w:eastAsia="Times New Roman" w:hAnsi="Open Sans"/>
                <w:color w:val="3C3D48"/>
                <w:sz w:val="21"/>
                <w:szCs w:val="21"/>
                <w:lang w:eastAsia="nb-NO"/>
              </w:rPr>
              <w:t>Unntak der opplysningene vil lette utføring av straffbare handling</w:t>
            </w:r>
          </w:p>
        </w:tc>
      </w:tr>
    </w:tbl>
    <w:p w:rsidR="008319B2" w:rsidRDefault="008319B2"/>
    <w:sectPr w:rsidR="0083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35"/>
    <w:rsid w:val="00076967"/>
    <w:rsid w:val="007268FA"/>
    <w:rsid w:val="008319B2"/>
    <w:rsid w:val="008E1571"/>
    <w:rsid w:val="00A2799C"/>
    <w:rsid w:val="00AE2693"/>
    <w:rsid w:val="00B10140"/>
    <w:rsid w:val="00DE6735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9C"/>
    <w:rPr>
      <w:rFonts w:ascii="Times New Roman" w:hAnsi="Times New Roman" w:cs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9C"/>
    <w:rPr>
      <w:rFonts w:ascii="Times New Roman" w:hAnsi="Times New Roman" w:cs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vilombudsmannen.no/" TargetMode="External"/><Relationship Id="rId5" Type="http://schemas.openxmlformats.org/officeDocument/2006/relationships/hyperlink" Target="http://www.lovdata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63197011</Template>
  <TotalTime>0</TotalTime>
  <Pages>4</Pages>
  <Words>1007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Nordland fylkeskommune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Gavin</dc:creator>
  <cp:lastModifiedBy>Mona Nilssen</cp:lastModifiedBy>
  <cp:revision>2</cp:revision>
  <dcterms:created xsi:type="dcterms:W3CDTF">2018-11-06T14:39:00Z</dcterms:created>
  <dcterms:modified xsi:type="dcterms:W3CDTF">2018-11-06T14:39:00Z</dcterms:modified>
</cp:coreProperties>
</file>